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05F8F54C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5629E8">
        <w:rPr>
          <w:b/>
          <w:bCs/>
          <w:sz w:val="20"/>
          <w:szCs w:val="20"/>
          <w:lang w:val="it-IT"/>
        </w:rPr>
        <w:t>I FONDAMENTI DELLA DIREZIONE ARTISTICA NEI LUNGOMETRAGGI D’ANIMAZIONE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E189F" w14:textId="77777777" w:rsidR="00A619DC" w:rsidRDefault="00A619DC" w:rsidP="008B7D6C">
      <w:r>
        <w:separator/>
      </w:r>
    </w:p>
  </w:endnote>
  <w:endnote w:type="continuationSeparator" w:id="0">
    <w:p w14:paraId="37D6151F" w14:textId="77777777" w:rsidR="00A619DC" w:rsidRDefault="00A619D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BF0D0" w14:textId="77777777" w:rsidR="00A619DC" w:rsidRDefault="00A619DC" w:rsidP="008B7D6C">
      <w:r>
        <w:separator/>
      </w:r>
    </w:p>
  </w:footnote>
  <w:footnote w:type="continuationSeparator" w:id="0">
    <w:p w14:paraId="7818049E" w14:textId="77777777" w:rsidR="00A619DC" w:rsidRDefault="00A619D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629E8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216FC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07964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19DC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2025-01-03T10:36:00Z</dcterms:created>
  <dcterms:modified xsi:type="dcterms:W3CDTF">2025-02-04T21:10:00Z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